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widowControl w:val="0"/>
        <w:ind w:left="4536" w:firstLine="0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суд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Минского района</w:t>
      </w:r>
    </w:p>
    <w:p>
      <w:pPr>
        <w:pStyle w:val="Обычный"/>
        <w:widowControl w:val="0"/>
        <w:spacing w:before="120" w:after="240"/>
        <w:ind w:left="4536" w:firstLine="0"/>
        <w:rPr>
          <w:shd w:val="clear" w:color="auto" w:fill="ffff00"/>
          <w:lang w:val="ru-RU"/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220028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Минск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Маяковского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. 119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А</w:t>
      </w:r>
    </w:p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87"/>
        <w:gridCol w:w="2082"/>
        <w:gridCol w:w="1115"/>
        <w:gridCol w:w="160"/>
        <w:gridCol w:w="2739"/>
        <w:gridCol w:w="1287"/>
        <w:gridCol w:w="1059"/>
        <w:gridCol w:w="160"/>
      </w:tblGrid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Взыскатель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идентификационный номер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jc w:val="right"/>
            </w:pP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Должник</w:t>
            </w:r>
            <w:r>
              <w:rPr>
                <w:b w:val="1"/>
                <w:bCs w:val="1"/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ФИО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идентификационный номер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тел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48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5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эл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: </w:t>
            </w:r>
          </w:p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64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8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4644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85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Взыскиваемая сумма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1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1900,68</w:t>
            </w:r>
          </w:p>
        </w:tc>
        <w:tc>
          <w:tcPr>
            <w:tcW w:type="dxa" w:w="289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белорусских рублей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Государственная пошлина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11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clear" w:color="auto" w:fill="ffff00"/>
                <w:rtl w:val="0"/>
                <w:lang w:val="ru-RU"/>
              </w:rPr>
              <w:t>90</w:t>
            </w:r>
          </w:p>
        </w:tc>
        <w:tc>
          <w:tcPr>
            <w:tcW w:type="dxa" w:w="289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белорусских рублей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49" w:hRule="atLeast"/>
        </w:trPr>
        <w:tc>
          <w:tcPr>
            <w:tcW w:type="dxa" w:w="336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</w:pP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У</w:t>
            </w:r>
            <w:r>
              <w:rPr>
                <w:sz w:val="26"/>
                <w:szCs w:val="26"/>
                <w:shd w:val="nil" w:color="auto" w:fill="auto"/>
                <w:rtl w:val="0"/>
              </w:rPr>
              <w:t>четный номер операции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 xml:space="preserve"> в ЕРИП по оплате государственной пошлины</w:t>
            </w:r>
            <w:r>
              <w:rPr>
                <w:sz w:val="26"/>
                <w:szCs w:val="26"/>
                <w:shd w:val="nil" w:color="auto" w:fill="auto"/>
                <w:rtl w:val="0"/>
                <w:lang w:val="ru-RU"/>
              </w:rPr>
              <w:t>:</w:t>
            </w:r>
          </w:p>
        </w:tc>
        <w:tc>
          <w:tcPr>
            <w:tcW w:type="dxa" w:w="4014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widowControl w:val="0"/>
              <w:ind w:firstLine="0"/>
              <w:rPr>
                <w:sz w:val="26"/>
                <w:szCs w:val="26"/>
                <w:shd w:val="clear" w:color="auto" w:fill="ffff00"/>
                <w:lang w:val="en-US"/>
              </w:rPr>
            </w:pPr>
          </w:p>
          <w:p>
            <w:pPr>
              <w:pStyle w:val="Обычный"/>
              <w:widowControl w:val="0"/>
              <w:ind w:firstLine="0"/>
              <w:rPr>
                <w:sz w:val="26"/>
                <w:szCs w:val="26"/>
                <w:shd w:val="clear" w:color="auto" w:fill="ffff00"/>
                <w:lang w:val="en-US"/>
              </w:rPr>
            </w:pPr>
          </w:p>
          <w:p>
            <w:pPr>
              <w:pStyle w:val="Обычный"/>
              <w:widowControl w:val="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26"/>
                <w:szCs w:val="26"/>
                <w:shd w:val="clear" w:color="auto" w:fill="ffff00"/>
                <w:rtl w:val="0"/>
                <w:lang w:val="en-US"/>
              </w:rPr>
              <w:t>6582423438</w:t>
            </w:r>
          </w:p>
        </w:tc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19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9" w:hRule="atLeast"/>
        </w:trPr>
        <w:tc>
          <w:tcPr>
            <w:tcW w:type="dxa" w:w="12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0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  <w:spacing w:before="120" w:after="240"/>
        <w:ind w:firstLine="0"/>
        <w:rPr>
          <w:shd w:val="clear" w:color="auto" w:fill="ffff00"/>
          <w:lang w:val="ru-RU"/>
        </w:rPr>
      </w:pPr>
    </w:p>
    <w:p>
      <w:pPr>
        <w:pStyle w:val="Обычный"/>
        <w:spacing w:before="240" w:after="120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Заявление </w:t>
      </w:r>
    </w:p>
    <w:p>
      <w:pPr>
        <w:pStyle w:val="Обычный"/>
        <w:spacing w:before="120" w:after="360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выдаче определения о судебном приказе</w:t>
      </w:r>
    </w:p>
    <w:p>
      <w:pPr>
        <w:pStyle w:val="Обычный"/>
        <w:spacing w:before="24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Между мной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  <w:r>
        <w:rPr>
          <w:outline w:val="0"/>
          <w:color w:val="000000"/>
          <w:sz w:val="26"/>
          <w:szCs w:val="26"/>
          <w:u w:val="single"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«Взыскатель»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</w:t>
      </w:r>
      <w:r>
        <w:rPr>
          <w:outline w:val="0"/>
          <w:color w:val="000000"/>
          <w:sz w:val="26"/>
          <w:szCs w:val="26"/>
          <w:u w:val="single"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ФИО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________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«Должник»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заключен Договор займа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2026-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0123456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03.03.2026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«Договор»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соответствии с условиями которого Должнику выдан займ в сумме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705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безналичными денежными средствами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заключен в простой письменной форме посредством сервиса потребительского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оператором которого является ООО «ФинКит Онлайн»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включенное в реестр операторов сервисов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Национального банка Республики Беларусь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01.07.2024,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регистрационный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 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Сумма займа была предоставлена на срок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дней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04.03.2026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02.04.2026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 уплатой процентов за пользование займом в размере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2,2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%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суммы предоставленного займа за каждый день пользования займом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не более двукратной суммы займа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3.6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Обязательства по Договору Должником не исполнены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Задолженность Должника перед Взыскателем составляет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705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899,58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белорусских рублей – по оплате процентов за пользование займом за период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04.03.2026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30.04.2026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58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дн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*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705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руб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*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2,2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%,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более двукратной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 заключен до вступления в силу Закона Республики Беларусь от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17.10.2025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100-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изменении законов по вопросам предоставления займов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не подлежит приведению в соответствие с указанным Законом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указанного Закона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Гражданского кодекса Республики Беларусь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договору займа одна сторона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заимодавец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передает в собственность другой стороне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заемщику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деньги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заемщик обязуется возвратить заимодавцу такую же сумму денег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если иное не предусмотрено законодательством или договором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заимодавец имеет право на получение с заемщика процентов на сумму займа в размерах и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определенных договором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764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763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заемщик обязан возвратить заимодавцу полученную сумму займа в срок и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предусмотрены договором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290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ГК обязательства должны исполняться надлежащим образом в соответствии с условиями обязательства и требованиями законодательства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при отсутствии таких условий и требований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обычно предъявляемыми требованиями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Согласно ст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311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ГК неустойкой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штрафом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пеней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признается определенная законодательством или договором денежная сумма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которую должник обязан уплатить кредитору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иное не предусмотрено законодательными актами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неисполнения или ненадлежащего исполнения обязательства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частности в случае просрочки исполнения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требованию об уплате неустойки кредитор не обязан доказывать причинение ему убытков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 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6.1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Договора за нарушение установленного Договором срока возврата суммы займа Заёмщик уплачивает пеню в размере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1,5 %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Одна целая и пять десятых процента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не возвращенной в установленный Договором срок суммы займа за каждый день просрочки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Размер пени не может превышать половины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предоставленного по Договору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6.6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spacing w:after="120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Сумма 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подлежащая оплате Должником в пользу Взыскателя за период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03.04.2026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30.04.2026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составляет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296,10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белорусских рублей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28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дн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*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705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*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1,5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%, </w:t>
      </w:r>
      <w:r>
        <w:rPr>
          <w:i w:val="1"/>
          <w:i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не более половины суммы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Обычный"/>
        <w:spacing w:after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Взыскателем в адрес Должника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 направлены претензии по Договору о необходимости оплаты долга 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оплаты процентов за пользование займом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Претензии направлены Должнику в порядке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установленном пп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 7.3 (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 в электронном виде через личный кабинет в сервисе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получены Должником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зафиксировано программным обеспечением оператора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 и подтверждается сведениями из прилагаемого к настоящему заявлению документа о заключении Договора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выданного оператором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заимствования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установленный п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7.2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Договора срок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(3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дня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Должник на претензии не ответил</w:t>
      </w:r>
      <w:r>
        <w:rPr>
          <w:outline w:val="0"/>
          <w:color w:val="000000"/>
          <w:spacing w:val="-2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Пунктом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7.5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 установлена договорная территориальная подсудность споров суду по месту жительства Заимодавца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pacing w:before="120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основании изложенного и руководствуясь статьями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290, 311, 760, 762, 763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Гражданского кодекса Республики Беларусь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статьями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342, 343, 346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Кодекса гражданского судопроизводства Республики Беларусь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</w:p>
    <w:p>
      <w:pPr>
        <w:pStyle w:val="Обычный"/>
        <w:ind w:firstLine="709"/>
        <w:rPr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0"/>
        <w:jc w:val="center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бычный"/>
        <w:ind w:firstLine="709"/>
        <w:jc w:val="center"/>
        <w:rPr>
          <w:b w:val="1"/>
          <w:bCs w:val="1"/>
          <w:outline w:val="0"/>
          <w:color w:val="000000"/>
          <w:sz w:val="26"/>
          <w:szCs w:val="26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709"/>
        <w:rPr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Выдать определение о судебном приказе о взыскании с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Иванова Ивана Ивановича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пользу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Процентского Петра Петровича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1900,68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по договору займа №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2026-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0123456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03.03.2026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705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долга по возврату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899,58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рублей процентов за пользование займом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296,10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белорусских рубля пени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 также взыскать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90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белорусских рублей в возмещение расходов по государственной пошлине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ind w:firstLine="709"/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Обычный"/>
        <w:ind w:firstLine="0"/>
        <w:rPr>
          <w:lang w:val="ru-RU"/>
        </w:rPr>
      </w:pP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Документ о заключении договора займа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выданный оператором сервиса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ООО «ФинКит Онлайн» на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.; </w:t>
      </w:r>
    </w:p>
    <w:p>
      <w:pPr>
        <w:pStyle w:val="Обычный"/>
        <w:numPr>
          <w:ilvl w:val="0"/>
          <w:numId w:val="3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sz w:val="26"/>
          <w:szCs w:val="26"/>
          <w:rtl w:val="0"/>
          <w:lang w:val="ru-RU"/>
        </w:rPr>
        <w:t xml:space="preserve">Копия договора займа денежных средств на </w:t>
      </w:r>
      <w:r>
        <w:rPr>
          <w:sz w:val="26"/>
          <w:szCs w:val="26"/>
          <w:rtl w:val="0"/>
          <w:lang w:val="ru-RU"/>
        </w:rPr>
        <w:t xml:space="preserve">8 </w:t>
      </w:r>
      <w:r>
        <w:rPr>
          <w:sz w:val="26"/>
          <w:szCs w:val="26"/>
          <w:rtl w:val="0"/>
          <w:lang w:val="ru-RU"/>
        </w:rPr>
        <w:t>л</w:t>
      </w:r>
      <w:r>
        <w:rPr>
          <w:sz w:val="26"/>
          <w:szCs w:val="26"/>
          <w:rtl w:val="0"/>
          <w:lang w:val="ru-RU"/>
        </w:rPr>
        <w:t xml:space="preserve">. </w:t>
      </w:r>
      <w:r>
        <w:rPr>
          <w:sz w:val="26"/>
          <w:szCs w:val="26"/>
          <w:rtl w:val="0"/>
          <w:lang w:val="ru-RU"/>
        </w:rPr>
        <w:t xml:space="preserve">в </w:t>
      </w:r>
      <w:r>
        <w:rPr>
          <w:sz w:val="26"/>
          <w:szCs w:val="26"/>
          <w:rtl w:val="0"/>
          <w:lang w:val="ru-RU"/>
        </w:rPr>
        <w:t xml:space="preserve">1 </w:t>
      </w:r>
      <w:r>
        <w:rPr>
          <w:sz w:val="26"/>
          <w:szCs w:val="26"/>
          <w:rtl w:val="0"/>
          <w:lang w:val="ru-RU"/>
        </w:rPr>
        <w:t>экз</w:t>
      </w:r>
      <w:r>
        <w:rPr>
          <w:sz w:val="26"/>
          <w:szCs w:val="26"/>
          <w:rtl w:val="0"/>
          <w:lang w:val="ru-RU"/>
        </w:rPr>
        <w:t>.;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Копия претензии Должнику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05.04.2026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.;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Копия претензии Должнику от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 xml:space="preserve">14.04.2026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sz w:val="26"/>
          <w:szCs w:val="26"/>
          <w:rtl w:val="0"/>
          <w:lang w:val="ru-RU"/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 свидетельства о включении ООО «ФинКит Онлайн» в реестр операторов сервисов онлайн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заимствования Национального банка Республики Беларусь на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экз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.;</w:t>
      </w:r>
    </w:p>
    <w:p>
      <w:pPr>
        <w:pStyle w:val="Обычный"/>
        <w:ind w:left="1069" w:firstLine="0"/>
        <w:rPr>
          <w:lang w:val="ru-RU"/>
        </w:rPr>
      </w:pPr>
    </w:p>
    <w:p>
      <w:pPr>
        <w:pStyle w:val="Обычный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bookmarkStart w:name="_Hlk25842468" w:id="0"/>
    </w:p>
    <w:p>
      <w:pPr>
        <w:pStyle w:val="Обычный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firstLine="0"/>
        <w:rPr>
          <w:i w:val="1"/>
          <w:iCs w:val="1"/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Обычный"/>
        <w:ind w:left="2160" w:firstLine="0"/>
        <w:rPr>
          <w:outline w:val="0"/>
          <w:color w:val="000000"/>
          <w:sz w:val="26"/>
          <w:szCs w:val="26"/>
          <w:u w:color="000000"/>
          <w:shd w:val="clear" w:color="auto" w:fill="ffff00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 / 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Процентский</w:t>
      </w:r>
    </w:p>
    <w:p>
      <w:pPr>
        <w:pStyle w:val="Обычный"/>
        <w:spacing w:before="120"/>
        <w:ind w:left="1440" w:firstLine="720"/>
      </w:pPr>
      <w:r>
        <w:rPr>
          <w:outline w:val="0"/>
          <w:color w:val="000000"/>
          <w:sz w:val="26"/>
          <w:szCs w:val="26"/>
          <w:u w:color="000000"/>
          <w:shd w:val="clear" w:color="auto" w:fill="ffff00"/>
          <w:rtl w:val="0"/>
          <w:lang w:val="ru-RU"/>
          <w14:textFill>
            <w14:solidFill>
              <w14:srgbClr w14:val="000000"/>
            </w14:solidFill>
          </w14:textFill>
        </w:rPr>
        <w:t>30.04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.2026</w:t>
      </w:r>
      <w:r>
        <w:rPr>
          <w:outline w:val="0"/>
          <w:color w:val="000000"/>
          <w:sz w:val="28"/>
          <w:szCs w:val="28"/>
          <w:u w:color="000000"/>
          <w:lang w:val="ru-RU"/>
          <w14:textFill>
            <w14:solidFill>
              <w14:srgbClr w14:val="000000"/>
            </w14:solidFill>
          </w14:textFill>
        </w:rPr>
      </w:r>
      <w:bookmarkEnd w:id="0"/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1124" w:hanging="4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10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72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